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t>泰和县中医院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t>年院内公开招聘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t>专业技术人员岗位表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 </w:t>
      </w:r>
    </w:p>
    <w:tbl>
      <w:tblPr>
        <w:tblW w:w="9174" w:type="dxa"/>
        <w:jc w:val="center"/>
        <w:tblInd w:w="-32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5262"/>
        <w:gridCol w:w="842"/>
        <w:gridCol w:w="15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全日制本科以上学历，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儿科专业、临床医学专业、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中西医临床医学专业，2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周岁以下；取得执业医师证者可放宽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诊断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全日制大专以上学历，临床医学专业，取得执业助理医师以上资格证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放射诊断岗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全日制大专以上学历，临床医学或医学影像专业，男性，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周岁以下；取得执业医师证者可放宽至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全日制本科以上学历，医学影像技术专业，男性，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周岁以下；取得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MRI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上岗证者可放宽至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西药剂岗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大专以上学历，药学专业，取得药士资格证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大专以上学历，医学检验技术专业，取得检验士资格证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护理岗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有志长期从事护理一线工作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，男护士优先，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中专以上学历，护理（助产）专业，25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全日制大专以上院校毕业或已生育二胎者可放宽至28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4685"/>
    <w:rsid w:val="7EF04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2019-02-16T01:52:00Z</dcterms:created>
  <dc:creator>幸福的小泽1392700379</dc:creator>
  <cp:lastModifiedBy>幸福的小泽1392700379</cp:lastModifiedBy>
  <dcterms:modified xsi:type="dcterms:W3CDTF">2019-02-16T01:54:58Z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