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（一）高端人才 </w:t>
      </w:r>
    </w:p>
    <w:tbl>
      <w:tblPr>
        <w:tblW w:w="7322" w:type="dxa"/>
        <w:jc w:val="center"/>
        <w:tblInd w:w="507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844"/>
        <w:gridCol w:w="844"/>
        <w:gridCol w:w="2380"/>
        <w:gridCol w:w="183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各学院和科研单位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经济学（02）、管理学（12）、法学（03）、哲学（01）、理学（07）、工学（08）、文学（05）类专业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符合我校“百人计划”中首席教授、学科领军人才及以上层次的人才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具体岗位条件及引进待遇请详见我校主页（</w:t>
      </w:r>
      <w:r>
        <w:rPr>
          <w:rFonts w:hint="default" w:ascii="Arial" w:hAnsi="Arial" w:cs="Arial"/>
          <w:color w:val="00000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color w:val="00000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"http://www.jxufe.edu.cn" </w:instrText>
      </w:r>
      <w:r>
        <w:rPr>
          <w:rFonts w:hint="default" w:ascii="Arial" w:hAnsi="Arial" w:cs="Arial"/>
          <w:color w:val="00000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default" w:ascii="Arial" w:hAnsi="Arial" w:cs="Arial"/>
          <w:color w:val="000000"/>
          <w:sz w:val="21"/>
          <w:szCs w:val="21"/>
          <w:u w:val="none"/>
          <w:bdr w:val="none" w:color="auto" w:sz="0" w:space="0"/>
          <w:shd w:val="clear" w:fill="FFFFFF"/>
        </w:rPr>
        <w:t>www.jxufe.edu.cn</w:t>
      </w:r>
      <w:r>
        <w:rPr>
          <w:rFonts w:hint="default" w:ascii="Arial" w:hAnsi="Arial" w:cs="Arial"/>
          <w:color w:val="00000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）【人才招聘】版块。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（二）海归博士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129" w:type="dxa"/>
        <w:jc w:val="center"/>
        <w:tblInd w:w="10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843"/>
        <w:gridCol w:w="843"/>
        <w:gridCol w:w="3116"/>
        <w:gridCol w:w="191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各学院和科研单位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经济学（02）、管理学（12）、法学（03）、哲学（01）、理学（07）、工学（08）、文学（05）类专业，数字媒体艺术专业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海归博士在报到时须取得教育部学历学位认证、留学回国人员证明。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（三）国内博士 </w:t>
      </w:r>
    </w:p>
    <w:tbl>
      <w:tblPr>
        <w:tblW w:w="8776" w:type="dxa"/>
        <w:jc w:val="center"/>
        <w:tblInd w:w="-22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843"/>
        <w:gridCol w:w="843"/>
        <w:gridCol w:w="3733"/>
        <w:gridCol w:w="194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工商管理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所有引进人员均须是国内高校全日制博士研究生毕业，且在报到时应取得博士学历、学位证书。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财税与公共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经济学（02）、管理学（12）、哲学（01）、理学（07）、工学（08）类专业。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会计学院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国际经贸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金融学院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统计学院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信息管理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旅游与城市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经济学（02）、管理学（12）、哲学（01）、理学（07）、工学（08）、文学（05）类专业。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法学院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经济学（02）、管理学（12）、法学（03）、哲学（01）类专业。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江西经济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发展与改革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经济学（02）、管理学（12）、哲学（01）、理学（07）类专业。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产业经济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经济学（02）、管理学（12）、哲学（01）、理学（07）、工学（08）类专业。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协同创新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经济学（02）、管理学（12）、法学（03）、哲学（01）、理学（07）、工学（08）、类专业。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生态文明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经济学（02）、管理学（12）、哲学（01）、理学（07）、工学（08）类专业。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软件与物联网工程学院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工学（08）、统计学（020208）、软件工程（0835）专业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外国语学院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英语语言文学（050201）、外国语言学及应用语言学（050211）专业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人文学院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经济学（02）、管理学（12）、文学（05）、社会学（0303）、民俗学（030304）、人类学（030303）、新闻传播学（0503）、文化产业管理专业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所有引进人员均须是国内高校全日制博士研究生毕业，且在报到时应取得博士学历、学位证书。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艺术学院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文学（05）、艺术学（13）、园艺学（0902）、风景园林规划与设计（081303）、环境艺术设计专业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体育人文社会学（040301）、体育教育训练学（040303）、民族传统体育学（040304）专业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马克思主义基本原理（030501）、马克思主义中国化研究（030503）、思想政治教育（030505）、中国近现代基本问题研究、中国近现代史（060107）、马克思主义哲学（010101）、政治学（0302）、中共党史（030204）专业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创业教育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经济学（02）、管理学（12）、教育学（04）专业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财政大数据分析中心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经济学（02）、管理学（12）、信息与通信工程（0810）、控制科学与工程（0811）、计算机科学与技术（0812）、软件工程（0835）专业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各学院和科研单位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76" w:afterAutospacing="0" w:line="450" w:lineRule="atLeast"/>
        <w:ind w:left="0" w:right="0"/>
        <w:jc w:val="left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　　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除表中特别注明，各岗位条件如下：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（1）年龄：45岁以下(1974年1月1日后出生)。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（2）2019年应届毕业生可凭有效证明报名。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（3）以上岗位条件中专业名称后括号中的数字为学科专业代码。 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  <w:rPr>
      <w:color w:val="4183C4"/>
      <w:u w:val="single"/>
    </w:rPr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2019-04-02T08:14:04Z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