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  <w:t>附表1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737" w:firstLineChars="0"/>
        <w:jc w:val="left"/>
        <w:textAlignment w:val="auto"/>
        <w:outlineLvl w:val="9"/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  <w:t>赣州市审计局公开考选工作人员职位表</w:t>
      </w:r>
    </w:p>
    <w:tbl>
      <w:tblPr>
        <w:tblStyle w:val="2"/>
        <w:tblpPr w:leftFromText="180" w:rightFromText="180" w:vertAnchor="text" w:horzAnchor="page" w:tblpX="1605" w:tblpY="6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99"/>
        <w:gridCol w:w="465"/>
        <w:gridCol w:w="1543"/>
        <w:gridCol w:w="960"/>
        <w:gridCol w:w="190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3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/>
                <w:sz w:val="32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  <w:highlight w:val="none"/>
              </w:rPr>
            </w:pPr>
            <w:r>
              <w:rPr>
                <w:rFonts w:eastAsia="黑体"/>
                <w:sz w:val="32"/>
                <w:szCs w:val="28"/>
                <w:highlight w:val="none"/>
              </w:rPr>
              <w:t>职位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  <w:highlight w:val="none"/>
              </w:rPr>
            </w:pPr>
            <w:r>
              <w:rPr>
                <w:rFonts w:eastAsia="黑体"/>
                <w:sz w:val="32"/>
                <w:szCs w:val="28"/>
                <w:highlight w:val="none"/>
              </w:rPr>
              <w:t>人数</w:t>
            </w:r>
          </w:p>
        </w:tc>
        <w:tc>
          <w:tcPr>
            <w:tcW w:w="6913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  <w:highlight w:val="none"/>
              </w:rPr>
            </w:pPr>
            <w:r>
              <w:rPr>
                <w:rFonts w:eastAsia="黑体"/>
                <w:sz w:val="32"/>
                <w:szCs w:val="28"/>
                <w:highlight w:val="none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  <w:highlight w:val="none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  <w:highlight w:val="none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  <w:highlight w:val="none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  <w:highlight w:val="none"/>
              </w:rPr>
            </w:pPr>
            <w:r>
              <w:rPr>
                <w:rFonts w:eastAsia="黑体"/>
                <w:sz w:val="32"/>
                <w:szCs w:val="28"/>
                <w:highlight w:val="none"/>
              </w:rPr>
              <w:t>专业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  <w:highlight w:val="none"/>
              </w:rPr>
            </w:pPr>
            <w:r>
              <w:rPr>
                <w:rFonts w:eastAsia="黑体"/>
                <w:sz w:val="32"/>
                <w:szCs w:val="28"/>
                <w:highlight w:val="none"/>
              </w:rPr>
              <w:t>学历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  <w:highlight w:val="none"/>
              </w:rPr>
            </w:pPr>
            <w:r>
              <w:rPr>
                <w:rFonts w:eastAsia="黑体"/>
                <w:sz w:val="32"/>
                <w:szCs w:val="28"/>
                <w:highlight w:val="none"/>
              </w:rPr>
              <w:t>年龄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黑体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/>
                <w:sz w:val="32"/>
                <w:szCs w:val="28"/>
                <w:highlight w:val="none"/>
                <w:lang w:val="en-US" w:eastAsia="zh-CN"/>
              </w:rPr>
              <w:t>考选对象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6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赣州市审计局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审计业务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岗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A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经济与贸易类、财政金融类、会计与审计类专业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本科及以上学历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35周岁以下（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1984年9月30日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及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以后出生）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；研究生以上学历，年龄可放宽到40周岁以下（1979年9月30日及以后出生）。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全市范围内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党政机关中已进行公务员登记且在编在岗的公务员。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全市范围内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参照公务员法管理事业单位中已进行参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公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登记在编在岗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且符合交流进机关条件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的工作人员。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审计业务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岗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B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法律类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审计业务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岗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C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经济与贸易类、财政金融类、会计与审计类专业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本科及以上学历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35周岁以下（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1984年9月30日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及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以后出生）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；研究生以上学历，年龄可放宽到40周岁以下（1979年9月30日及以后出生）。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市直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党政机关中已进行公务员登记且在编在岗的公务员。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综合管理岗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法律类、中文类、新闻类、政治与社会类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6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一级</w:t>
            </w:r>
            <w:r>
              <w:rPr>
                <w:rFonts w:eastAsia="仿宋_GB2312"/>
                <w:sz w:val="28"/>
                <w:szCs w:val="28"/>
                <w:highlight w:val="none"/>
              </w:rPr>
              <w:t>科员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</w:tbl>
    <w:p>
      <w:pPr>
        <w:shd w:val="clear" w:color="auto" w:fill="auto"/>
        <w:spacing w:line="560" w:lineRule="exact"/>
        <w:ind w:firstLine="156" w:firstLineChars="49"/>
        <w:jc w:val="left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hd w:val="clear" w:color="auto" w:fill="auto"/>
        <w:spacing w:line="560" w:lineRule="exact"/>
        <w:ind w:firstLine="156" w:firstLineChars="49"/>
        <w:jc w:val="left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B3499"/>
    <w:rsid w:val="63EB3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2020-09-23T07:29:00Z</dcterms:created>
  <dc:creator>admin</dc:creator>
  <cp:lastModifiedBy>admin</cp:lastModifiedBy>
  <dcterms:modified xsi:type="dcterms:W3CDTF">2020-09-23T07:34:02Z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